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A57AE1" w14:paraId="41F29C73" w14:textId="77777777" w:rsidTr="70EBA673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2A6659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0EB2" w14:textId="77777777" w:rsidR="00883508" w:rsidRPr="00C3045B" w:rsidRDefault="0012646E" w:rsidP="70EBA673">
            <w:pPr>
              <w:spacing w:before="400"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</w:pPr>
            <w:r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      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MAT Á </w:t>
            </w:r>
            <w:r w:rsidR="007414CB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Á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HRIFUM LAGASETNINGAR</w:t>
            </w:r>
            <w:r w:rsidR="000073F7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*</w:t>
            </w:r>
          </w:p>
          <w:p w14:paraId="4001912A" w14:textId="4C1AD2B3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 xml:space="preserve">febrúar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20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23</w:t>
            </w:r>
          </w:p>
          <w:p w14:paraId="39FAEDC1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46D73CCE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FB3DA7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250040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6B04F" w14:textId="77777777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BF5ACD" w14:paraId="640B8632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B3351AF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27548237" w:edGrp="everyone" w:colFirst="1" w:colLast="1"/>
            <w:permEnd w:id="172250040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A6959E7" w14:textId="77777777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A57AE1" w14:paraId="31624756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276429B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50007205" w:edGrp="everyone" w:colFirst="1" w:colLast="1"/>
            <w:permEnd w:id="1927548237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1C6D9B3C" w14:textId="77777777" w:rsidR="00135B40" w:rsidRPr="004E0E11" w:rsidRDefault="00193979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0E8B4203" w14:textId="77777777" w:rsidR="00135B40" w:rsidRPr="004E0E11" w:rsidRDefault="00193979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68167811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B2C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5279516" w:edGrp="everyone" w:colFirst="1" w:colLast="1"/>
            <w:permEnd w:id="550007205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C5B58" w14:textId="77777777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35279516"/>
    </w:tbl>
    <w:p w14:paraId="0A37501D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3DD735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0350B5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473C8AD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82035854" w:edGrp="everyone" w:displacedByCustomXml="prev"/>
              <w:p w14:paraId="4FB025E1" w14:textId="6A1FCED7" w:rsidR="0043227F" w:rsidRP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021873B" w14:textId="614EF821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642DB6C9" w14:textId="1482DBD6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Helstu forsendur sem áætlanir byggja á og næmni niðurstaðna fyrir frávikum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4808874D" w14:textId="50FDAC44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75DB58A8" w14:textId="7B38703D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Skorður sem eru settar fyrir útgjöldum og hvatar sem geta haft áhrif á útgjaldaþróun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64C00391" w14:textId="3F36C9A6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Aðskilin umfjöllun um </w:t>
                </w:r>
                <w:proofErr w:type="spellStart"/>
                <w:r w:rsidRPr="00A72ECC">
                  <w:rPr>
                    <w:rFonts w:ascii="Times New Roman" w:hAnsi="Times New Roman" w:cs="Times New Roman"/>
                    <w:lang w:val="is-IS"/>
                  </w:rPr>
                  <w:t>brúttóáhrif</w:t>
                </w:r>
                <w:proofErr w:type="spellEnd"/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á tekjuhlið og gjaldahlið en einnig tilgreind nettóáhrif á afkomu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3EF314C9" w14:textId="5667D6C5" w:rsidR="00FD2097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1686517" w14:textId="1472FF3E" w:rsidR="00D96089" w:rsidRDefault="002F5A2D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886857">
                  <w:rPr>
                    <w:rFonts w:ascii="Times New Roman" w:hAnsi="Times New Roman" w:cs="Times New Roman"/>
                    <w:lang w:val="is-IS"/>
                  </w:rPr>
                  <w:t xml:space="preserve">Sjá </w:t>
                </w:r>
                <w:r w:rsidR="00D96089" w:rsidRPr="00A72ECC">
                  <w:rPr>
                    <w:rFonts w:ascii="Times New Roman" w:hAnsi="Times New Roman" w:cs="Times New Roman"/>
                    <w:lang w:val="is-IS"/>
                  </w:rPr>
                  <w:t>gátlista fyrir mat á fjárhagsáhrifum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BB7CC88" w14:textId="77777777" w:rsidR="00BD03E4" w:rsidRPr="00A72ECC" w:rsidRDefault="00BD03E4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011C60D4" w14:textId="68A73561" w:rsidR="000212D2" w:rsidRPr="00EE7DC8" w:rsidRDefault="00AD6D06" w:rsidP="00EE7DC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0015BFF" w14:textId="6A3B448A" w:rsidR="00D96089" w:rsidRDefault="002F5A2D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886857">
                  <w:rPr>
                    <w:rFonts w:ascii="Times New Roman" w:hAnsi="Times New Roman" w:cs="Times New Roman"/>
                    <w:lang w:val="is-IS"/>
                  </w:rPr>
                  <w:t xml:space="preserve">Sjá </w:t>
                </w:r>
                <w:r w:rsidR="00D96089" w:rsidRPr="00A72ECC">
                  <w:rPr>
                    <w:rFonts w:ascii="Times New Roman" w:hAnsi="Times New Roman" w:cs="Times New Roman"/>
                    <w:lang w:val="is-IS"/>
                  </w:rPr>
                  <w:t>gátlista fyrir mat á fjárhagsáhrifum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E256DD2" w14:textId="77777777" w:rsidR="00BD03E4" w:rsidRPr="00A72ECC" w:rsidRDefault="00BD03E4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3AECE235" w14:textId="71B7C711" w:rsid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E2BB445" w14:textId="57968093" w:rsidR="00D96089" w:rsidRDefault="002F5A2D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D96089" w:rsidRPr="00A72ECC">
                  <w:rPr>
                    <w:rFonts w:ascii="Times New Roman" w:hAnsi="Times New Roman" w:cs="Times New Roman"/>
                    <w:lang w:val="is-IS"/>
                  </w:rPr>
                  <w:t>Sjá sérstakan gátlista fyrir mat á fjárhagsáhrifum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3CF6A88" w14:textId="77777777" w:rsidR="00BD03E4" w:rsidRPr="00A72ECC" w:rsidRDefault="00BD03E4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4286C444" w14:textId="325CC88B" w:rsidR="00813003" w:rsidRDefault="00AD6D06" w:rsidP="0081300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F7EFAFA" w14:textId="518D0BF5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og sjónarmið um fyrirkomulag á útgjaldastýringu og umbúnað í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5D6883BD" w14:textId="34BEAAE7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um framsetningu fjárlaga og reikningshaldslegan grundvöll samkvæmt lögum um opinber fjármál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6F32AA89" w14:textId="0705FEA8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Uppbygging skattkerfis og tekjuöflunar ríkissjóðs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0D090F52" w14:textId="0A2C1197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Forsendur og umbúnaður þjónustugjalda – lagakröfur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7F03EC8D" w14:textId="6B031ABC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Rekstrarform ríkisstarfsemi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04105743" w14:textId="674DFBF4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Opinber innkaup og útboð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3E248B52" w14:textId="4626CC0B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Eignaumsýsla ríkisins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5609FB39" w14:textId="68955BF5" w:rsidR="00813003" w:rsidRPr="00A72ECC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Réttindi og skyldur ríkisstarfsmanna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7A5DE4B8" w14:textId="3F005BC9" w:rsidR="00CA3381" w:rsidRPr="00E648AA" w:rsidRDefault="00813003" w:rsidP="00BD69E0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Ríkisstyrkir og ívilnanir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þ.m.t. samræmi við reglur ESA</w:t>
                </w:r>
                <w:r w:rsidR="004E0E11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1293C" w:rsidRPr="004E0E11">
                  <w:rPr>
                    <w:rFonts w:ascii="Times New Roman" w:hAnsi="Times New Roman" w:cs="Times New Roman"/>
                    <w:lang w:val="is-IS"/>
                  </w:rPr>
                  <w:t>sbr. 61. gr. EES-samningsins</w:t>
                </w:r>
                <w:r w:rsidR="00267F64" w:rsidRPr="004E0E11">
                  <w:rPr>
                    <w:rFonts w:ascii="Times New Roman" w:hAnsi="Times New Roman" w:cs="Times New Roman"/>
                    <w:lang w:val="is-IS"/>
                  </w:rPr>
                  <w:t>. A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th. tilkynningarskyldu með tveggja mánaða fyrirvara</w:t>
                </w:r>
                <w:r w:rsidR="00B677F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</w:sdtContent>
          </w:sdt>
          <w:permEnd w:id="2082035854" w:displacedByCustomXml="prev"/>
        </w:tc>
      </w:tr>
      <w:tr w:rsidR="00263F72" w:rsidRPr="00BF5ACD" w14:paraId="49BBA6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E642AD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A57AE1" w14:paraId="293F5885" w14:textId="77777777" w:rsidTr="00FD2097">
        <w:trPr>
          <w:trHeight w:val="826"/>
        </w:trPr>
        <w:tc>
          <w:tcPr>
            <w:tcW w:w="9288" w:type="dxa"/>
          </w:tcPr>
          <w:permStart w:id="214271619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1C099E2" w14:textId="77777777" w:rsidR="006C6EA3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5CB72CBB" w14:textId="0BCE137A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091F1F9C" w14:textId="7BCDE08B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3514BF9B" w14:textId="242C41AA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71F700FB" w14:textId="51D50A38" w:rsidR="00FD2097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Hafi ekki þegar verið gert ráð fyrir útgjöldum við verkefni, hvernig er þá ætlunin að finna þeim stað innan útgjaldaramma málaflokks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</w:t>
                </w: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t.d. með tilfærslu fjármuna eða með því að draga úr öðrum útgjöldum?</w:t>
                </w:r>
              </w:p>
              <w:p w14:paraId="74F5F875" w14:textId="77777777" w:rsidR="00BD03E4" w:rsidRPr="00BD03E4" w:rsidRDefault="00BD03E4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59743E5F" w14:textId="77777777" w:rsidR="00BD03E4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5AFAF127" w14:textId="222751A7" w:rsidR="00CA3381" w:rsidRPr="00BD03E4" w:rsidRDefault="00193979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2142716198"/>
      <w:tr w:rsidR="00263F72" w:rsidRPr="00A57AE1" w14:paraId="4E3AA32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503429" w14:textId="321AEC38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A57AE1" w14:paraId="2913BAD7" w14:textId="77777777" w:rsidTr="00FD2097">
        <w:trPr>
          <w:trHeight w:val="826"/>
        </w:trPr>
        <w:tc>
          <w:tcPr>
            <w:tcW w:w="9288" w:type="dxa"/>
          </w:tcPr>
          <w:permStart w:id="20280998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952C0A" w14:textId="77777777" w:rsidR="00BD03E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ADD87B1" w14:textId="044AB716" w:rsidR="00FD2097" w:rsidRPr="00BD03E4" w:rsidRDefault="00FD2097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0049170" w14:textId="715A97DA" w:rsidR="001B69DD" w:rsidRPr="004E0E1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>Leitað umsagnar ráðgjafarnefndar um opinberar eftirlitsreglur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 s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br. lög nr. 27/1999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03904308" w14:textId="52B6839F" w:rsidR="00FD2097" w:rsidRPr="00BD03E4" w:rsidRDefault="001B69DD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Sjá leiðarvísinn „Grunnmat á eftirlitsreglum“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28431DFF" w14:textId="3EE44640" w:rsidR="00A410EA" w:rsidRPr="004433F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262E75D" w14:textId="4DA1850B" w:rsidR="00A410EA" w:rsidRPr="004433F4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lang w:val="is-IS"/>
                  </w:rPr>
                  <w:t>Líkur á því að fjöldi fyrirtækja á markaði takmarkist með beinum hætti vegna reglusetningar (líklegt ef aðgerðin felur í sér einhvers konar einkarétt, leyfiskerfi eða kvóta)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05C73860" w14:textId="03170163" w:rsidR="00301FF8" w:rsidRPr="00A72ECC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Líkur á því að fyrirtækjum á markaði fækki með óbeinum hætti vegna reglusetningar (líklegt ef aðgerðin felur í sér aukinn kostnað við inngöngu á markað eða tekur aðeins til hluta starfandi fyrirtækja)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11012B77" w14:textId="5732561A" w:rsid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Takmarkanir á möguleikum fyrirtækja til þess að mæta samkeppni vegna reglusetningar (líklegt ef aðgerðin hefur áhrif á verð fyrirtækja eða eðli vörunnar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t.d. staðlar eða ef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aðgerðin takmarkar sölusvæði, svigrúm til að auglýsa eða til að ákveða hvernig vara er framleidd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).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23A35C1E" w14:textId="5C03E351" w:rsidR="00CA3381" w:rsidRP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Takmarkanir á frumkvæði fyrirtækja til að stunda 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 xml:space="preserve">virka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samkeppni vegna reglusetningar (líklegt ef aðgerðin felur í sér að fyrirtæki verði undanþegin samkeppnislögum eða ef fyrirtæki bera skyldu eða eru hvött til að skipta með sér hvers konar viðskiptalegum upplýsingum)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</w:sdtContent>
          </w:sdt>
        </w:tc>
      </w:tr>
      <w:permEnd w:id="2028099852"/>
      <w:tr w:rsidR="000D6E33" w:rsidRPr="00BF5ACD" w14:paraId="5B63C56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B499233" w14:textId="77777777" w:rsidR="000D6E33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A57AE1" w14:paraId="2700E6E3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14709597" w:edGrp="everyone" w:displacedByCustomXml="prev"/>
              <w:p w14:paraId="63D3E78B" w14:textId="5FDE3134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3B782B2" w14:textId="6A128116" w:rsidR="000D6E33" w:rsidRDefault="008734A0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Ath. að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 xml:space="preserve">skylt er að leggja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slíkt mat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 xml:space="preserve">fyrir Samband íslenskra sveitarfélaga til umsagnar og tilkynna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niðurstöðu máls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til samgöngu- og sveitarstjórnarráðuneytisins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5737D06" w14:textId="77777777" w:rsidR="00C16C66" w:rsidRPr="004E0E11" w:rsidRDefault="00C16C66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1145B43A" w14:textId="62EF2A18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43229A" w14:textId="0C2EB34A" w:rsidR="00AC19E3" w:rsidRPr="004E0E11" w:rsidRDefault="00CE06FC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Ath. tilkynningarskyldu til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 xml:space="preserve"> ESA 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með fjögurra mánaða fyrirvara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>sbr. 1. og 2. gr. reglugerðar nr. 666/2011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F933ABF" w14:textId="76A0C5D1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tæknilegar reglur um vöru og </w:t>
                </w:r>
                <w:proofErr w:type="spellStart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, sbr. lög nr. 57/2000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5DD89CD" w14:textId="5DF226F2" w:rsidR="00AC19E3" w:rsidRDefault="00CE06FC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Ath. tilkynningarskyldu til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 xml:space="preserve"> ESA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með þriggja mánaða fyrirvara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sbr. 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. og 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>. gr. reglugerðar nr. 666/2011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DCCF32C" w14:textId="77777777" w:rsidR="00C16C66" w:rsidRPr="004E0E11" w:rsidRDefault="00C16C66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2D0533F4" w14:textId="059FA65B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8BDA8F4" w14:textId="77777777" w:rsidR="00C16C66" w:rsidRPr="00C16C66" w:rsidRDefault="00C16C66" w:rsidP="00C16C66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CFDCD51" w14:textId="13CC5C4F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E20971A" w14:textId="77777777" w:rsidR="00C16C66" w:rsidRPr="00C16C66" w:rsidRDefault="00C16C66" w:rsidP="00C16C66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E1BBD6F" w14:textId="54C76E82" w:rsidR="003C66CA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705CC14" w14:textId="33336316" w:rsidR="00AC19E3" w:rsidRDefault="00886857" w:rsidP="003C66C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Sjá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leiðarvísi fyrir mat á jafnréttisáhrifum</w:t>
                </w:r>
                <w:r w:rsidR="0019397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BDD65C9" w14:textId="5F851104" w:rsid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Sjá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greiningarramma fyrir jafnréttismat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1A7B7CE" w14:textId="77777777" w:rsidR="00C16C66" w:rsidRPr="004E0E11" w:rsidRDefault="00C16C66" w:rsidP="003C66C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788DA598" w14:textId="5DEB42B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a lýðheilsu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56A3D5F" w14:textId="77777777" w:rsidR="00193979" w:rsidRPr="00193979" w:rsidRDefault="00193979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732EDF5" w14:textId="00FF440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Áhrif á menntun, nýsköpun og rannsóknir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3EEEED3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6338615" w14:textId="18004EB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4C04B54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1EAB7D34" w14:textId="78E05B2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hvort ráðuneyti og stofnanir eru í stakk búin til að taka við verkefni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575E74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52F604BA" w14:textId="65A6A3D1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stöðu tiltekinna þjóðfélagshópa, 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svo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aldurshópa, tekjuhópa, mismunandi fjölskyldugerðir, launþega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F324F82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10635864" w14:textId="77777777" w:rsidR="00193979" w:rsidRDefault="00346619" w:rsidP="008831B4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umhverfi og sjálfbæra þróun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B279BF3" w14:textId="3F468B86" w:rsidR="000D6E33" w:rsidRPr="00193979" w:rsidRDefault="00346619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314709597" w:displacedByCustomXml="next"/>
            </w:sdtContent>
          </w:sdt>
        </w:tc>
      </w:tr>
      <w:tr w:rsidR="00311838" w:rsidRPr="00A57AE1" w14:paraId="581E26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BF81DCB" w14:textId="284389E3" w:rsidR="00311838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A57AE1" w14:paraId="6DFB7AF4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64699272" w:edGrp="everyone" w:displacedByCustomXml="prev"/>
              <w:p w14:paraId="51927315" w14:textId="49DF17D9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EA2C537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C7C3DC8" w14:textId="040E1813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vekja athygli á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6EA6B2C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7980F45" w14:textId="77777777" w:rsidR="00193979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B09DAA3" w14:textId="63FEF8B4" w:rsidR="00CA3381" w:rsidRPr="00193979" w:rsidRDefault="00193979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ermEnd w:id="964699272" w:displacedByCustomXml="next"/>
            </w:sdtContent>
          </w:sdt>
        </w:tc>
      </w:tr>
      <w:tr w:rsidR="00EB6651" w:rsidRPr="00A57AE1" w14:paraId="3975C5C3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37943A8A" w14:textId="77777777" w:rsidR="00EB6651" w:rsidRPr="00BF3F59" w:rsidRDefault="00D64A3D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A57AE1" w14:paraId="2BD7A5BC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1245520" w:edGrp="everyone" w:displacedByCustomXml="prev"/>
              <w:p w14:paraId="5E3E3636" w14:textId="74C1AE2A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5438163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C706323" w14:textId="7AF4301D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55EF85D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D9BD4F8" w14:textId="77777777" w:rsidR="00193979" w:rsidRDefault="00D64A3D" w:rsidP="000073F7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4B4539E" w14:textId="20858714" w:rsidR="00EB6651" w:rsidRPr="00193979" w:rsidRDefault="00EB6651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141245520" w:displacedByCustomXml="next"/>
            </w:sdtContent>
          </w:sdt>
        </w:tc>
      </w:tr>
    </w:tbl>
    <w:p w14:paraId="5DAB6C7B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02EB378F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6A05A80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002CD4" w:rsidRDefault="00002CD4" w:rsidP="007478E0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02CD4" w:rsidRDefault="00002CD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CE2FB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5B19978" w14:textId="16221ECD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121873">
      <w:rPr>
        <w:rFonts w:ascii="Times New Roman" w:hAnsi="Times New Roman" w:cs="Times New Roman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002CD4" w:rsidRDefault="00002CD4" w:rsidP="007478E0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02CD4" w:rsidRDefault="00002CD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E41EFF32"/>
    <w:lvl w:ilvl="0" w:tplc="D5EA0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2CD4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1873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3979"/>
    <w:rsid w:val="001972B9"/>
    <w:rsid w:val="001B69DD"/>
    <w:rsid w:val="001C5BB7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F43E8"/>
    <w:rsid w:val="009F64EA"/>
    <w:rsid w:val="00A01DD4"/>
    <w:rsid w:val="00A30C51"/>
    <w:rsid w:val="00A3629C"/>
    <w:rsid w:val="00A40657"/>
    <w:rsid w:val="00A410EA"/>
    <w:rsid w:val="00A51298"/>
    <w:rsid w:val="00A57AE1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A4BB1"/>
    <w:rsid w:val="00BA5089"/>
    <w:rsid w:val="00BA5B20"/>
    <w:rsid w:val="00BB2B30"/>
    <w:rsid w:val="00BD03E4"/>
    <w:rsid w:val="00BD69E0"/>
    <w:rsid w:val="00BE1D1C"/>
    <w:rsid w:val="00BF0A19"/>
    <w:rsid w:val="00BF3B4A"/>
    <w:rsid w:val="00BF3F59"/>
    <w:rsid w:val="00BF5ACD"/>
    <w:rsid w:val="00C10C94"/>
    <w:rsid w:val="00C10D1B"/>
    <w:rsid w:val="00C16C66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3A33"/>
    <w:rsid w:val="00F51F2D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  <w:rsid w:val="70EB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E410E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0AF3"/>
    <w:rsid w:val="008E61E5"/>
    <w:rsid w:val="0095447C"/>
    <w:rsid w:val="00983C8A"/>
    <w:rsid w:val="009F53A8"/>
    <w:rsid w:val="00BD2B03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EE533C17AF44ABCA61C0AEC7A604" ma:contentTypeVersion="4" ma:contentTypeDescription="Create a new document." ma:contentTypeScope="" ma:versionID="454ce68866249528ac76ba44d89d1a57">
  <xsd:schema xmlns:xsd="http://www.w3.org/2001/XMLSchema" xmlns:xs="http://www.w3.org/2001/XMLSchema" xmlns:p="http://schemas.microsoft.com/office/2006/metadata/properties" xmlns:ns2="e71e7fb8-9a93-4c9a-b7a1-ec047170335e" xmlns:ns3="605f6087-bd26-4508-b3a9-2c3b852b826b" targetNamespace="http://schemas.microsoft.com/office/2006/metadata/properties" ma:root="true" ma:fieldsID="7305ceed719ab492fa04bdc83788755d" ns2:_="" ns3:_="">
    <xsd:import namespace="e71e7fb8-9a93-4c9a-b7a1-ec047170335e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7fb8-9a93-4c9a-b7a1-ec047170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47F1-1CBF-4F91-BC71-568103482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6DC0F-46ED-4C18-92FB-4254E5CF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1C55B-3A94-4469-A6CA-E869D1E42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7fb8-9a93-4c9a-b7a1-ec047170335e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DF9A8-AD06-4B86-93AB-C7F35E73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Una Björk Ómarsdóttir</cp:lastModifiedBy>
  <cp:revision>3</cp:revision>
  <cp:lastPrinted>2017-01-12T13:13:00Z</cp:lastPrinted>
  <dcterms:created xsi:type="dcterms:W3CDTF">2023-06-08T13:37:00Z</dcterms:created>
  <dcterms:modified xsi:type="dcterms:W3CDTF">2023-06-08T14:20:00Z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0x010100527AEE533C17AF44ABCA61C0AEC7A604</vt:lpwstr>
  </property>
</Properties>
</file>